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F" w:rsidRDefault="0063590F" w:rsidP="0063590F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br/>
        <w:t>Popisa isp</w:t>
      </w:r>
      <w:r w:rsidR="00A670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rava i službenih obrazaca u 2020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63590F" w:rsidRDefault="0063590F" w:rsidP="00E12C68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</w:t>
      </w:r>
      <w:r w:rsidRPr="00A670F9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hr-HR"/>
        </w:rPr>
        <w:t>čiji su sadržaji, oblik, način zaštite i obvezna primjena propisani zakonima i drugim propisima (Narodne novine, br. 50/11, 119/11, 28/13, 96/13, 47/</w:t>
      </w:r>
      <w:r w:rsidR="00AF5740" w:rsidRPr="00A670F9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hr-HR"/>
        </w:rPr>
        <w:t xml:space="preserve">14, 61/15, 34/16, 17/17,  86/17 i </w:t>
      </w:r>
      <w:r w:rsidRPr="00A670F9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hr-HR"/>
        </w:rPr>
        <w:t>97</w:t>
      </w:r>
      <w:r w:rsidR="006B6F01" w:rsidRPr="00A670F9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hr-HR"/>
        </w:rPr>
        <w:t>/18)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, navodimo dopune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obrazaca.</w:t>
      </w:r>
    </w:p>
    <w:p w:rsidR="00D16321" w:rsidRDefault="0097750F" w:rsidP="00E12C68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Ministarstvo financija, Porezna uprava, Središnji ured</w:t>
      </w:r>
    </w:p>
    <w:p w:rsidR="0057113B" w:rsidRPr="00817977" w:rsidRDefault="00034BCA" w:rsidP="001F0FCC">
      <w:pPr>
        <w:pStyle w:val="t-9-8"/>
        <w:shd w:val="clear" w:color="auto" w:fill="FFFFFF"/>
        <w:spacing w:before="0" w:beforeAutospacing="0" w:after="225" w:afterAutospacing="0"/>
        <w:ind w:firstLine="408"/>
        <w:jc w:val="both"/>
        <w:textAlignment w:val="baseline"/>
        <w:rPr>
          <w:rFonts w:ascii="Minion Pro" w:hAnsi="Minion Pro"/>
          <w:noProof/>
          <w:color w:val="000000"/>
          <w:lang w:val="hr-HR"/>
        </w:rPr>
      </w:pPr>
      <w:r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     </w:t>
      </w:r>
      <w:bookmarkStart w:id="0" w:name="_GoBack"/>
      <w:r w:rsidR="008C049E" w:rsidRPr="00D1702D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Pravilnikom o </w:t>
      </w:r>
      <w:r w:rsidR="00F60835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>tehničkoj ispravnosti automata i stolova za igre na sreću (Narodne novine, br.</w:t>
      </w:r>
      <w:r w:rsidR="009F25A5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 38/10, 130/10, </w:t>
      </w:r>
      <w:r w:rsidR="00924D25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49/13, 12/14) </w:t>
      </w:r>
      <w:r w:rsidR="008008E0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>propisuju se</w:t>
      </w:r>
      <w:r w:rsidR="00B075DE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 </w:t>
      </w:r>
      <w:r w:rsidR="00BA6D43">
        <w:rPr>
          <w:rFonts w:ascii="Minion Pro" w:hAnsi="Minion Pro"/>
          <w:noProof/>
          <w:color w:val="000000"/>
          <w:lang w:val="hr-HR"/>
        </w:rPr>
        <w:t>uvjete</w:t>
      </w:r>
      <w:r w:rsidR="00BA6D43" w:rsidRPr="00BA6D43">
        <w:rPr>
          <w:rFonts w:ascii="Minion Pro" w:hAnsi="Minion Pro"/>
          <w:noProof/>
          <w:color w:val="000000"/>
          <w:lang w:val="hr-HR"/>
        </w:rPr>
        <w:t xml:space="preserve"> i način stavljanja u uporabu automata za igre na sreću (dalje u tekstu: automat) i stolova za igre na sreću (dalje u tekstu: stol),</w:t>
      </w:r>
      <w:r w:rsidR="00BA6D43">
        <w:rPr>
          <w:rFonts w:ascii="Minion Pro" w:hAnsi="Minion Pro"/>
          <w:noProof/>
          <w:color w:val="000000"/>
          <w:lang w:val="hr-HR"/>
        </w:rPr>
        <w:t xml:space="preserve"> </w:t>
      </w:r>
      <w:r w:rsidR="00BA6D43" w:rsidRPr="00BA6D43">
        <w:rPr>
          <w:rFonts w:ascii="Minion Pro" w:hAnsi="Minion Pro"/>
          <w:noProof/>
          <w:color w:val="000000"/>
          <w:lang w:val="hr-HR"/>
        </w:rPr>
        <w:t>certificiranje automata, stolova i sustava,</w:t>
      </w:r>
      <w:r w:rsidR="009A46FF">
        <w:rPr>
          <w:rFonts w:ascii="Minion Pro" w:hAnsi="Minion Pro"/>
          <w:noProof/>
          <w:color w:val="000000"/>
          <w:lang w:val="hr-HR"/>
        </w:rPr>
        <w:t xml:space="preserve"> uvjete</w:t>
      </w:r>
      <w:r w:rsidR="00BA6D43" w:rsidRPr="009A46FF">
        <w:rPr>
          <w:rFonts w:ascii="Minion Pro" w:hAnsi="Minion Pro"/>
          <w:noProof/>
          <w:color w:val="000000"/>
          <w:lang w:val="hr-HR"/>
        </w:rPr>
        <w:t xml:space="preserve"> i način ugradnje sustava povezivanja automata u on-line, sustava progresivnih i jack-pot dobitaka, te sustava plaćanja,</w:t>
      </w:r>
      <w:r w:rsidR="009A46FF">
        <w:rPr>
          <w:rFonts w:ascii="Minion Pro" w:hAnsi="Minion Pro"/>
          <w:noProof/>
          <w:color w:val="000000"/>
          <w:lang w:val="hr-HR"/>
        </w:rPr>
        <w:t xml:space="preserve"> </w:t>
      </w:r>
      <w:r w:rsidR="00BA6D43" w:rsidRPr="009A46FF">
        <w:rPr>
          <w:rFonts w:ascii="Minion Pro" w:hAnsi="Minion Pro"/>
          <w:noProof/>
          <w:color w:val="000000"/>
          <w:lang w:val="hr-HR"/>
        </w:rPr>
        <w:t>tehnički pregled automata, stolova i sustava, te izdavanje potvrda (atesta) o njihovoj tehničkoj ispravnosti,</w:t>
      </w:r>
      <w:r w:rsidR="009A46FF">
        <w:rPr>
          <w:rFonts w:ascii="Minion Pro" w:hAnsi="Minion Pro"/>
          <w:noProof/>
          <w:color w:val="000000"/>
          <w:lang w:val="hr-HR"/>
        </w:rPr>
        <w:t xml:space="preserve"> uvjete</w:t>
      </w:r>
      <w:r w:rsidR="00BA6D43" w:rsidRPr="009A46FF">
        <w:rPr>
          <w:rFonts w:ascii="Minion Pro" w:hAnsi="Minion Pro"/>
          <w:noProof/>
          <w:color w:val="000000"/>
          <w:lang w:val="hr-HR"/>
        </w:rPr>
        <w:t xml:space="preserve"> dobivanja odobrenja za obavljanje certi</w:t>
      </w:r>
      <w:r w:rsidR="009A46FF">
        <w:rPr>
          <w:rFonts w:ascii="Minion Pro" w:hAnsi="Minion Pro"/>
          <w:noProof/>
          <w:color w:val="000000"/>
          <w:lang w:val="hr-HR"/>
        </w:rPr>
        <w:t>ficiranja automata i stolova te uvjete</w:t>
      </w:r>
      <w:r w:rsidR="00BA6D43" w:rsidRPr="009A46FF">
        <w:rPr>
          <w:rFonts w:ascii="Minion Pro" w:hAnsi="Minion Pro"/>
          <w:noProof/>
          <w:color w:val="000000"/>
          <w:lang w:val="hr-HR"/>
        </w:rPr>
        <w:t xml:space="preserve"> dobivanja odobrenja za obavljanje tehničkog pregleda i izdavanja potvrda o tehničkoj ispravnosti.</w:t>
      </w:r>
      <w:r w:rsidR="008F5B5B">
        <w:rPr>
          <w:rFonts w:ascii="Minion Pro" w:hAnsi="Minion Pro"/>
          <w:noProof/>
          <w:color w:val="000000"/>
          <w:lang w:val="hr-HR"/>
        </w:rPr>
        <w:t xml:space="preserve"> </w:t>
      </w:r>
      <w:r w:rsidR="009A46FF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>O</w:t>
      </w:r>
      <w:r w:rsidR="00924D25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dredbom članka 31. </w:t>
      </w:r>
      <w:r w:rsidR="0057113B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propisano je </w:t>
      </w:r>
      <w:r w:rsidR="0057113B" w:rsidRPr="00817977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>da</w:t>
      </w:r>
      <w:r w:rsidR="00383E88" w:rsidRPr="00817977">
        <w:rPr>
          <w:rFonts w:asciiTheme="majorBidi" w:hAnsiTheme="majorBidi" w:cstheme="majorBidi"/>
          <w:noProof/>
          <w:color w:val="231F20"/>
          <w:shd w:val="clear" w:color="auto" w:fill="FFFFFF"/>
          <w:lang w:val="hr-HR"/>
        </w:rPr>
        <w:t xml:space="preserve"> </w:t>
      </w:r>
      <w:r w:rsidR="0057113B" w:rsidRPr="00817977">
        <w:rPr>
          <w:rFonts w:ascii="Minion Pro" w:hAnsi="Minion Pro"/>
          <w:noProof/>
          <w:color w:val="000000"/>
          <w:lang w:val="hr-HR"/>
        </w:rPr>
        <w:t xml:space="preserve">nakon obavljenog tehničkog pregleda ovlaštena pravna osoba izdaje potvrdu (atest) da je sustav tehnički ispravan te označava mjesta koje </w:t>
      </w:r>
      <w:r w:rsidR="0057113B" w:rsidRPr="00817977">
        <w:rPr>
          <w:rFonts w:ascii="Minion Pro" w:hAnsi="Minion Pro"/>
          <w:i/>
          <w:iCs/>
          <w:noProof/>
          <w:color w:val="000000"/>
          <w:lang w:val="hr-HR"/>
        </w:rPr>
        <w:t>ovlašteni službenici Ministarstva financija moraju osigurati zaštitnim naljepnicama i plombama.</w:t>
      </w:r>
      <w:r w:rsidR="0057113B" w:rsidRPr="00817977">
        <w:rPr>
          <w:rFonts w:ascii="Minion Pro" w:hAnsi="Minion Pro"/>
          <w:noProof/>
          <w:color w:val="000000"/>
          <w:lang w:val="hr-HR"/>
        </w:rPr>
        <w:t>Obvezno se plombira poslužitelj (</w:t>
      </w:r>
      <w:r w:rsidR="0057113B" w:rsidRPr="00817977">
        <w:rPr>
          <w:rStyle w:val="kurziv"/>
          <w:rFonts w:ascii="Minion Pro" w:hAnsi="Minion Pro"/>
          <w:noProof/>
          <w:color w:val="000000"/>
          <w:bdr w:val="none" w:sz="0" w:space="0" w:color="auto" w:frame="1"/>
          <w:lang w:val="hr-HR"/>
        </w:rPr>
        <w:t>server</w:t>
      </w:r>
      <w:r w:rsidR="0057113B" w:rsidRPr="00817977">
        <w:rPr>
          <w:rFonts w:ascii="Minion Pro" w:hAnsi="Minion Pro"/>
          <w:noProof/>
          <w:color w:val="000000"/>
          <w:lang w:val="hr-HR"/>
        </w:rPr>
        <w:t>) i upravljački uređaj (</w:t>
      </w:r>
      <w:r w:rsidR="0057113B" w:rsidRPr="00817977">
        <w:rPr>
          <w:rStyle w:val="kurziv"/>
          <w:rFonts w:ascii="Minion Pro" w:hAnsi="Minion Pro"/>
          <w:noProof/>
          <w:color w:val="000000"/>
          <w:bdr w:val="none" w:sz="0" w:space="0" w:color="auto" w:frame="1"/>
          <w:lang w:val="hr-HR"/>
        </w:rPr>
        <w:t>controller</w:t>
      </w:r>
      <w:r w:rsidR="0057113B" w:rsidRPr="00817977">
        <w:rPr>
          <w:rFonts w:ascii="Minion Pro" w:hAnsi="Minion Pro"/>
          <w:noProof/>
          <w:color w:val="000000"/>
          <w:lang w:val="hr-HR"/>
        </w:rPr>
        <w:t>) te linkove (veze) između automata, poslužitelja i upravljačkog uređaja.</w:t>
      </w:r>
    </w:p>
    <w:p w:rsidR="007B03BF" w:rsidRDefault="001F0FCC" w:rsidP="001F0FCC">
      <w:pPr>
        <w:pStyle w:val="box453253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ajorBidi" w:hAnsiTheme="majorBidi" w:cstheme="majorBidi"/>
          <w:noProof/>
          <w:lang w:val="hr-HR"/>
        </w:rPr>
      </w:pPr>
      <w:r>
        <w:rPr>
          <w:rFonts w:ascii="Minion Pro" w:hAnsi="Minion Pro"/>
          <w:noProof/>
          <w:color w:val="000000"/>
          <w:lang w:val="hr-HR"/>
        </w:rPr>
        <w:t xml:space="preserve">     </w:t>
      </w:r>
      <w:r w:rsidR="00481FB2" w:rsidRPr="00DB3935">
        <w:rPr>
          <w:rFonts w:ascii="Minion Pro" w:hAnsi="Minion Pro"/>
          <w:noProof/>
          <w:color w:val="000000"/>
          <w:lang w:val="hr-HR"/>
        </w:rPr>
        <w:t xml:space="preserve">Pravilnik </w:t>
      </w:r>
      <w:r w:rsidR="00571855" w:rsidRPr="00481FB2">
        <w:rPr>
          <w:rFonts w:asciiTheme="majorBidi" w:hAnsiTheme="majorBidi" w:cstheme="majorBidi"/>
          <w:noProof/>
          <w:lang w:val="hr-HR"/>
        </w:rPr>
        <w:t>o uvjetima tehničke ispravnosti automata za zab</w:t>
      </w:r>
      <w:r w:rsidR="00481FB2">
        <w:rPr>
          <w:rFonts w:asciiTheme="majorBidi" w:hAnsiTheme="majorBidi" w:cstheme="majorBidi"/>
          <w:noProof/>
          <w:lang w:val="hr-HR"/>
        </w:rPr>
        <w:t xml:space="preserve">avne igre (Narodne novine, broj </w:t>
      </w:r>
      <w:r w:rsidR="00431E6F" w:rsidRPr="00481FB2">
        <w:rPr>
          <w:rFonts w:asciiTheme="majorBidi" w:hAnsiTheme="majorBidi" w:cstheme="majorBidi"/>
          <w:noProof/>
          <w:lang w:val="hr-HR"/>
        </w:rPr>
        <w:t xml:space="preserve">1/17) </w:t>
      </w:r>
      <w:r w:rsidR="00481FB2" w:rsidRPr="00481FB2">
        <w:rPr>
          <w:rFonts w:asciiTheme="majorBidi" w:hAnsiTheme="majorBidi" w:cstheme="majorBidi"/>
          <w:noProof/>
          <w:lang w:val="hr-HR"/>
        </w:rPr>
        <w:t>propisu</w:t>
      </w:r>
      <w:r w:rsidR="00481FB2">
        <w:rPr>
          <w:rFonts w:asciiTheme="majorBidi" w:hAnsiTheme="majorBidi" w:cstheme="majorBidi"/>
          <w:noProof/>
          <w:lang w:val="hr-HR"/>
        </w:rPr>
        <w:t>je</w:t>
      </w:r>
      <w:r w:rsidR="00431E6F" w:rsidRPr="00481FB2">
        <w:rPr>
          <w:rFonts w:asciiTheme="majorBidi" w:hAnsiTheme="majorBidi" w:cstheme="majorBidi"/>
          <w:noProof/>
          <w:lang w:val="hr-HR"/>
        </w:rPr>
        <w:t xml:space="preserve"> </w:t>
      </w:r>
      <w:r w:rsidR="00A02BEE">
        <w:rPr>
          <w:rFonts w:asciiTheme="majorBidi" w:hAnsiTheme="majorBidi" w:cstheme="majorBidi"/>
          <w:noProof/>
          <w:lang w:val="hr-HR"/>
        </w:rPr>
        <w:t>da:</w:t>
      </w:r>
    </w:p>
    <w:p w:rsidR="007B03BF" w:rsidRDefault="007B03BF" w:rsidP="001F0FCC">
      <w:pPr>
        <w:pStyle w:val="box453253"/>
        <w:numPr>
          <w:ilvl w:val="0"/>
          <w:numId w:val="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noProof/>
          <w:color w:val="231F20"/>
          <w:lang w:val="hr-HR"/>
        </w:rPr>
      </w:pPr>
      <w:r>
        <w:rPr>
          <w:noProof/>
          <w:color w:val="231F20"/>
          <w:lang w:val="hr-HR"/>
        </w:rPr>
        <w:t>N</w:t>
      </w:r>
      <w:r w:rsidR="00E15589" w:rsidRPr="00E15589">
        <w:rPr>
          <w:noProof/>
          <w:color w:val="231F20"/>
          <w:lang w:val="hr-HR"/>
        </w:rPr>
        <w:t>akon obavljenog tehničkog pregleda automata tipa video igre, pravna osoba ovlaštena za</w:t>
      </w:r>
    </w:p>
    <w:p w:rsidR="00A02BEE" w:rsidRPr="00817977" w:rsidRDefault="00E15589" w:rsidP="001F0FCC">
      <w:pPr>
        <w:pStyle w:val="box453253"/>
        <w:shd w:val="clear" w:color="auto" w:fill="FFFFFF"/>
        <w:spacing w:before="0" w:beforeAutospacing="0" w:after="48" w:afterAutospacing="0"/>
        <w:jc w:val="both"/>
        <w:textAlignment w:val="baseline"/>
        <w:rPr>
          <w:i/>
          <w:iCs/>
          <w:noProof/>
          <w:color w:val="231F20"/>
          <w:lang w:val="hr-HR"/>
        </w:rPr>
      </w:pPr>
      <w:r w:rsidRPr="00E15589">
        <w:rPr>
          <w:noProof/>
          <w:color w:val="231F20"/>
          <w:lang w:val="hr-HR"/>
        </w:rPr>
        <w:t xml:space="preserve">obavljanje tehničkog pregleda </w:t>
      </w:r>
      <w:r w:rsidRPr="00817977">
        <w:rPr>
          <w:i/>
          <w:iCs/>
          <w:noProof/>
          <w:color w:val="231F20"/>
          <w:lang w:val="hr-HR"/>
        </w:rPr>
        <w:t>plombirat će programski eprom-čip na programskoj ploči zaštitnom trakom ili plombom i na taj način zaštiti samu zabavnu igru.</w:t>
      </w:r>
      <w:r w:rsidRPr="00817977">
        <w:rPr>
          <w:i/>
          <w:iCs/>
          <w:noProof/>
          <w:color w:val="231F20"/>
          <w:lang w:val="hr-HR"/>
        </w:rPr>
        <w:t xml:space="preserve"> </w:t>
      </w:r>
    </w:p>
    <w:p w:rsidR="00A02BEE" w:rsidRDefault="00E15589" w:rsidP="001F0FCC">
      <w:pPr>
        <w:pStyle w:val="box453253"/>
        <w:numPr>
          <w:ilvl w:val="0"/>
          <w:numId w:val="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noProof/>
          <w:color w:val="231F20"/>
          <w:lang w:val="hr-HR"/>
        </w:rPr>
      </w:pPr>
      <w:r w:rsidRPr="00E15589">
        <w:rPr>
          <w:noProof/>
          <w:color w:val="231F20"/>
          <w:lang w:val="hr-HR"/>
        </w:rPr>
        <w:t>Ukoliko se automat tipa videoigra zasniva na konzoli PC-a, tada se svi otvoreni portovi u</w:t>
      </w:r>
    </w:p>
    <w:p w:rsidR="00A02BEE" w:rsidRPr="00817977" w:rsidRDefault="00E15589" w:rsidP="001F0FCC">
      <w:pPr>
        <w:pStyle w:val="box453253"/>
        <w:shd w:val="clear" w:color="auto" w:fill="FFFFFF"/>
        <w:spacing w:before="0" w:beforeAutospacing="0" w:after="48" w:afterAutospacing="0"/>
        <w:jc w:val="both"/>
        <w:textAlignment w:val="baseline"/>
        <w:rPr>
          <w:i/>
          <w:iCs/>
          <w:noProof/>
          <w:color w:val="231F20"/>
          <w:lang w:val="hr-HR"/>
        </w:rPr>
      </w:pPr>
      <w:r w:rsidRPr="00E15589">
        <w:rPr>
          <w:noProof/>
          <w:color w:val="231F20"/>
          <w:lang w:val="hr-HR"/>
        </w:rPr>
        <w:t xml:space="preserve">PC-u </w:t>
      </w:r>
      <w:r w:rsidRPr="00817977">
        <w:rPr>
          <w:i/>
          <w:iCs/>
          <w:noProof/>
          <w:color w:val="231F20"/>
          <w:lang w:val="hr-HR"/>
        </w:rPr>
        <w:t>moraju zaštiti zaštitnom trakom ili plombom.</w:t>
      </w:r>
      <w:r w:rsidR="007B03BF" w:rsidRPr="00817977">
        <w:rPr>
          <w:i/>
          <w:iCs/>
          <w:noProof/>
          <w:color w:val="231F20"/>
          <w:lang w:val="hr-HR"/>
        </w:rPr>
        <w:t xml:space="preserve"> </w:t>
      </w:r>
      <w:r w:rsidRPr="00817977">
        <w:rPr>
          <w:i/>
          <w:iCs/>
          <w:noProof/>
          <w:color w:val="231F20"/>
          <w:lang w:val="hr-HR"/>
        </w:rPr>
        <w:t xml:space="preserve"> </w:t>
      </w:r>
    </w:p>
    <w:p w:rsidR="00A02BEE" w:rsidRPr="00641FFC" w:rsidRDefault="00E15589" w:rsidP="001F0FCC">
      <w:pPr>
        <w:pStyle w:val="box453253"/>
        <w:numPr>
          <w:ilvl w:val="0"/>
          <w:numId w:val="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i/>
          <w:iCs/>
          <w:noProof/>
          <w:color w:val="231F20"/>
          <w:lang w:val="hr-HR"/>
        </w:rPr>
      </w:pPr>
      <w:r w:rsidRPr="00641FFC">
        <w:rPr>
          <w:i/>
          <w:iCs/>
          <w:noProof/>
          <w:color w:val="231F20"/>
          <w:lang w:val="hr-HR"/>
        </w:rPr>
        <w:t>Pravne osobe koje obavljaju tehnički pregled automata zadužuju zaštitnu traku za</w:t>
      </w:r>
    </w:p>
    <w:p w:rsidR="00E15589" w:rsidRPr="00641FFC" w:rsidRDefault="00E15589" w:rsidP="001F0FCC">
      <w:pPr>
        <w:pStyle w:val="box453253"/>
        <w:shd w:val="clear" w:color="auto" w:fill="FFFFFF"/>
        <w:spacing w:before="0" w:beforeAutospacing="0" w:after="48" w:afterAutospacing="0"/>
        <w:jc w:val="both"/>
        <w:textAlignment w:val="baseline"/>
        <w:rPr>
          <w:i/>
          <w:iCs/>
          <w:noProof/>
          <w:color w:val="231F20"/>
          <w:lang w:val="hr-HR"/>
        </w:rPr>
      </w:pPr>
      <w:r w:rsidRPr="00641FFC">
        <w:rPr>
          <w:i/>
          <w:iCs/>
          <w:noProof/>
          <w:color w:val="231F20"/>
          <w:lang w:val="hr-HR"/>
        </w:rPr>
        <w:t>plombiranje u Središnjem uredu Porezne uprave.</w:t>
      </w:r>
    </w:p>
    <w:p w:rsidR="00233F65" w:rsidRPr="00641FFC" w:rsidRDefault="00233F65" w:rsidP="001F0FCC">
      <w:pPr>
        <w:pStyle w:val="box453253"/>
        <w:shd w:val="clear" w:color="auto" w:fill="FFFFFF"/>
        <w:spacing w:before="153" w:beforeAutospacing="0" w:after="0" w:afterAutospacing="0"/>
        <w:jc w:val="both"/>
        <w:textAlignment w:val="baseline"/>
        <w:rPr>
          <w:rFonts w:asciiTheme="majorBidi" w:hAnsiTheme="majorBidi" w:cstheme="majorBidi"/>
          <w:i/>
          <w:iCs/>
          <w:noProof/>
          <w:color w:val="000000"/>
          <w:lang w:val="hr-HR"/>
        </w:rPr>
      </w:pPr>
    </w:p>
    <w:bookmarkEnd w:id="0"/>
    <w:p w:rsidR="00E12C68" w:rsidRDefault="00E12C68" w:rsidP="00E12C6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D62603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Slijedom navedenoga, 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</w:t>
      </w:r>
      <w:r w:rsidR="00E66DC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dodaju se sljedeći obrasci</w:t>
      </w:r>
      <w:r w:rsidRPr="00D62603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:</w:t>
      </w:r>
    </w:p>
    <w:p w:rsidR="008F5B5B" w:rsidRDefault="008F5B5B" w:rsidP="00E12C6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:rsidR="00704541" w:rsidRPr="00D62603" w:rsidRDefault="00704541" w:rsidP="00E12C6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:rsidR="00E12C68" w:rsidRPr="00D1702D" w:rsidRDefault="00E12C68" w:rsidP="00E12C68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lastRenderedPageBreak/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9F0861" w:rsidRPr="00F26DD3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F" w:rsidRDefault="006863BC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- </w:t>
            </w:r>
            <w:r w:rsidR="006023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Zaštitne naljepnice za igre na sreću i </w:t>
            </w:r>
          </w:p>
          <w:p w:rsidR="009F0861" w:rsidRDefault="00DF145F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 </w:t>
            </w:r>
            <w:r w:rsidR="004B23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 </w:t>
            </w:r>
            <w:r w:rsidR="006863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zabavne igre</w:t>
            </w:r>
          </w:p>
          <w:p w:rsidR="00DF25FC" w:rsidRDefault="00DF25FC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4B257D" w:rsidRDefault="004B257D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4B257D" w:rsidRPr="00602386" w:rsidRDefault="004B257D" w:rsidP="00D704EA">
            <w:pPr>
              <w:pStyle w:val="ListParagraph"/>
              <w:spacing w:after="20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C" w:rsidRDefault="00DB3935" w:rsidP="00F26DD3">
            <w:pPr>
              <w:spacing w:after="200" w:line="240" w:lineRule="auto"/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Pravilnik</w:t>
            </w:r>
            <w:r w:rsidR="003C6F78" w:rsidRPr="00D1702D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o </w:t>
            </w:r>
            <w:r w:rsidR="003C6F7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tehničkoj ispravnosti automata i stolova za igre na sreću (Narodne novine, br. 38/10, 130/10, 49/13, 12/14)</w:t>
            </w:r>
          </w:p>
          <w:p w:rsidR="00DC61C2" w:rsidRPr="00DC61C2" w:rsidRDefault="00DC61C2" w:rsidP="00F26DD3">
            <w:pPr>
              <w:spacing w:after="200" w:line="240" w:lineRule="auto"/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</w:pPr>
            <w:r w:rsidRPr="00DC61C2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hr-HR"/>
              </w:rPr>
              <w:t xml:space="preserve">Pravilnik </w:t>
            </w:r>
            <w:r w:rsidRPr="00DC61C2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val="hr-HR"/>
              </w:rPr>
              <w:t>o uvjetima tehničke ispravnosti automata za zab</w:t>
            </w:r>
            <w:r w:rsidRPr="00DC61C2">
              <w:rPr>
                <w:rFonts w:asciiTheme="majorBidi" w:hAnsiTheme="majorBidi" w:cstheme="majorBidi"/>
                <w:noProof/>
                <w:sz w:val="24"/>
                <w:szCs w:val="24"/>
                <w:lang w:val="hr-HR"/>
              </w:rPr>
              <w:t xml:space="preserve">avne igre (Narodne novine, broj </w:t>
            </w:r>
            <w:r w:rsidRPr="00DC61C2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val="hr-HR"/>
              </w:rPr>
              <w:t>1/17)</w:t>
            </w:r>
          </w:p>
        </w:tc>
      </w:tr>
    </w:tbl>
    <w:p w:rsidR="00CA1607" w:rsidRDefault="00CA1607" w:rsidP="009F0861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CA1607" w:rsidRPr="00F009BB" w:rsidRDefault="00CA1607" w:rsidP="00F009BB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63590F" w:rsidRDefault="0063590F" w:rsidP="0063590F">
      <w:pPr>
        <w:pStyle w:val="NoSpacing"/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:rsidR="00C55371" w:rsidRPr="00F26DD3" w:rsidRDefault="001F0FCC">
      <w:pPr>
        <w:rPr>
          <w:noProof/>
          <w:lang w:val="hr-HR"/>
        </w:rPr>
      </w:pPr>
    </w:p>
    <w:sectPr w:rsidR="00C55371" w:rsidRPr="00F26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28DC"/>
    <w:multiLevelType w:val="hybridMultilevel"/>
    <w:tmpl w:val="D6AE51AE"/>
    <w:lvl w:ilvl="0" w:tplc="FEE2CBD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713D"/>
    <w:multiLevelType w:val="hybridMultilevel"/>
    <w:tmpl w:val="1128AEC2"/>
    <w:lvl w:ilvl="0" w:tplc="DE9CBB6E">
      <w:start w:val="1"/>
      <w:numFmt w:val="decimal"/>
      <w:lvlText w:val="%1."/>
      <w:lvlJc w:val="left"/>
      <w:pPr>
        <w:ind w:left="768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692E5786"/>
    <w:multiLevelType w:val="hybridMultilevel"/>
    <w:tmpl w:val="D322453A"/>
    <w:lvl w:ilvl="0" w:tplc="81DAE99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2E75"/>
    <w:multiLevelType w:val="hybridMultilevel"/>
    <w:tmpl w:val="57688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34BCA"/>
    <w:rsid w:val="00067D96"/>
    <w:rsid w:val="000B09E6"/>
    <w:rsid w:val="000B3075"/>
    <w:rsid w:val="001028B2"/>
    <w:rsid w:val="0016518C"/>
    <w:rsid w:val="001B4B8C"/>
    <w:rsid w:val="001F0FCC"/>
    <w:rsid w:val="0021508C"/>
    <w:rsid w:val="00233F65"/>
    <w:rsid w:val="0028727C"/>
    <w:rsid w:val="002E7D67"/>
    <w:rsid w:val="002F1EDC"/>
    <w:rsid w:val="00320998"/>
    <w:rsid w:val="0033423E"/>
    <w:rsid w:val="00355C6B"/>
    <w:rsid w:val="00383E88"/>
    <w:rsid w:val="003C6F78"/>
    <w:rsid w:val="0040744A"/>
    <w:rsid w:val="00431E6F"/>
    <w:rsid w:val="00481FB2"/>
    <w:rsid w:val="004944EF"/>
    <w:rsid w:val="004B23A0"/>
    <w:rsid w:val="004B257D"/>
    <w:rsid w:val="004E3170"/>
    <w:rsid w:val="00506542"/>
    <w:rsid w:val="00532BD5"/>
    <w:rsid w:val="00563B6E"/>
    <w:rsid w:val="0057113B"/>
    <w:rsid w:val="00571855"/>
    <w:rsid w:val="00591682"/>
    <w:rsid w:val="005D12CB"/>
    <w:rsid w:val="005F5127"/>
    <w:rsid w:val="00602386"/>
    <w:rsid w:val="0063590F"/>
    <w:rsid w:val="00641FFC"/>
    <w:rsid w:val="006863BC"/>
    <w:rsid w:val="006B6F01"/>
    <w:rsid w:val="00704541"/>
    <w:rsid w:val="00715CD3"/>
    <w:rsid w:val="007603BE"/>
    <w:rsid w:val="00772117"/>
    <w:rsid w:val="00780266"/>
    <w:rsid w:val="007B03BF"/>
    <w:rsid w:val="007C22CE"/>
    <w:rsid w:val="008008E0"/>
    <w:rsid w:val="00817977"/>
    <w:rsid w:val="008C049E"/>
    <w:rsid w:val="008F5B5B"/>
    <w:rsid w:val="00924D25"/>
    <w:rsid w:val="0097750F"/>
    <w:rsid w:val="009A46FF"/>
    <w:rsid w:val="009F0861"/>
    <w:rsid w:val="009F25A5"/>
    <w:rsid w:val="00A02BEE"/>
    <w:rsid w:val="00A670F9"/>
    <w:rsid w:val="00AA07E0"/>
    <w:rsid w:val="00AF5740"/>
    <w:rsid w:val="00B075DE"/>
    <w:rsid w:val="00B261B3"/>
    <w:rsid w:val="00B525EA"/>
    <w:rsid w:val="00B60D21"/>
    <w:rsid w:val="00BA6D43"/>
    <w:rsid w:val="00BE5E44"/>
    <w:rsid w:val="00BF10D4"/>
    <w:rsid w:val="00BF14F1"/>
    <w:rsid w:val="00C80EE0"/>
    <w:rsid w:val="00CA075D"/>
    <w:rsid w:val="00CA1607"/>
    <w:rsid w:val="00D16321"/>
    <w:rsid w:val="00D1702D"/>
    <w:rsid w:val="00D46495"/>
    <w:rsid w:val="00D62603"/>
    <w:rsid w:val="00D704EA"/>
    <w:rsid w:val="00D7302C"/>
    <w:rsid w:val="00DB3935"/>
    <w:rsid w:val="00DC61C2"/>
    <w:rsid w:val="00DF145F"/>
    <w:rsid w:val="00DF25FC"/>
    <w:rsid w:val="00E12C68"/>
    <w:rsid w:val="00E15589"/>
    <w:rsid w:val="00E35CE8"/>
    <w:rsid w:val="00E66DC0"/>
    <w:rsid w:val="00EB309C"/>
    <w:rsid w:val="00F002DC"/>
    <w:rsid w:val="00F009BB"/>
    <w:rsid w:val="00F26DD3"/>
    <w:rsid w:val="00F60835"/>
    <w:rsid w:val="00F654E2"/>
    <w:rsid w:val="00F847CB"/>
    <w:rsid w:val="00FB6D3F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625F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-9-8">
    <w:name w:val="t-9-8"/>
    <w:basedOn w:val="Normal"/>
    <w:rsid w:val="0057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kurz-s">
    <w:name w:val="t-10-9-kurz-s"/>
    <w:basedOn w:val="Normal"/>
    <w:rsid w:val="0057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3253">
    <w:name w:val="box_453253"/>
    <w:basedOn w:val="Normal"/>
    <w:rsid w:val="0016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21</cp:revision>
  <dcterms:created xsi:type="dcterms:W3CDTF">2020-02-06T09:37:00Z</dcterms:created>
  <dcterms:modified xsi:type="dcterms:W3CDTF">2020-02-07T10:47:00Z</dcterms:modified>
</cp:coreProperties>
</file>